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31"/>
        <w:pageBreakBefore w:val="false"/>
        <w:numPr>
          <w:ilvl w:val="0"/>
          <w:numId w:val="0"/>
        </w:numPr>
        <w:spacing w:before="360" w:after="360"/>
        <w:jc w:val="center"/>
        <w:outlineLvl w:val="0"/>
        <w:rPr>
          <w:caps w:val="false"/>
          <w:smallCaps w:val="false"/>
        </w:rPr>
      </w:pPr>
      <w:r>
        <w:rPr>
          <w:caps w:val="false"/>
          <w:smallCaps w:val="false"/>
        </w:rPr>
        <w:t>Дополнительное соглашение от ___ __________ 202__ г. № _______</w:t>
        <w:br/>
        <w:t>к договору от ___ __________ 202__ г. № _______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__________ (далее – «__________»), в лице __________, действующего на основании __________, с одной стороны, и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__________ (далее – «__________»), в лице __________, действующего на основании __________, с другой стороны,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в целях обеспечения дополнительной прозрачности финансово-хозяйственной деятельности, а также во избежание конфликта интересов между работниками __________ и собственниками, в том числе конечными бенефициарами, заключили настоящее соглашение (далее – «Соглашение») к договору от ___ __________ 202__ г. № __________ (далее – «Договор») о нижеследующем:</w:t>
      </w:r>
    </w:p>
    <w:p>
      <w:pPr>
        <w:pStyle w:val="Style32"/>
        <w:numPr>
          <w:ilvl w:val="0"/>
          <w:numId w:val="2"/>
        </w:numPr>
        <w:spacing w:before="240" w:after="0"/>
        <w:ind w:firstLine="567" w:start="0"/>
        <w:rPr/>
      </w:pPr>
      <w:r>
        <w:rPr/>
        <w:t>В случае изменения в течение срока действия Договора каких-либо собственников (включая конечных бенефициаров) __________, __________ обязуется в течение 3 (трех) рабочих дней уведомить о таких изменениях __________ в порядке, установленном пунктом ___ Договора, представив документы (оригиналы или нотариально заверенные копии), подтверждающие такие изменения, а именно:</w:t>
      </w:r>
    </w:p>
    <w:p>
      <w:pPr>
        <w:pStyle w:val="Style32"/>
        <w:numPr>
          <w:ilvl w:val="1"/>
          <w:numId w:val="2"/>
        </w:numPr>
        <w:ind w:firstLine="567" w:start="0"/>
        <w:rPr/>
      </w:pPr>
      <w:r>
        <w:rPr/>
        <w:t>Для всех юридических лиц, созданных и действующих в соответствии с законодательством Российской Федерации, нотариально заверенные копии / оригинал / электронные выписки / усиленная ЭЦП следующих документов: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выписка из ЕГРЮЛ / ЕГРИП, выданная не ранее 1 (одного) месяца до даты предоставления документов о цепочке собственников, включая бенефициаров (в том числе конечных), в форме электронного документа, подписанного квалифицированной электронной подписью, либо копия выписки из ЕГРЮЛ / ЕГРИП, подписанная собственноручной подписью должностного лица налогового органа и заверенная печатью налогового органа, либо копия выписки из ЕГРЮЛ / ЕГРИП, заверенная нотариально;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корпоративный договор либо иное соглашение,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лицу, либо документ, подтверждающий отсутствие данных договоров (соглашений).</w:t>
      </w:r>
    </w:p>
    <w:p>
      <w:pPr>
        <w:pStyle w:val="Style32"/>
        <w:keepNext w:val="true"/>
        <w:numPr>
          <w:ilvl w:val="1"/>
          <w:numId w:val="2"/>
        </w:numPr>
        <w:ind w:firstLine="567" w:start="0"/>
        <w:rPr/>
      </w:pPr>
      <w:r>
        <w:rPr/>
        <w:t>Для юридических лиц, зарегистрированных в форме акционерных обществ</w:t>
      </w:r>
      <w:r>
        <w:rPr>
          <w:rStyle w:val="FootnoteReference"/>
        </w:rPr>
        <w:footnoteReference w:id="2"/>
      </w:r>
      <w:r>
        <w:rPr/>
        <w:t>: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выписка из реестра акционеров на дату не ранее 1 (одного) месяца до даты окончания подачи заявок на участие в закупке / согласования Договора;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список аффилированных лиц на последнюю отчетную дату;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ежеквартальный отчет на последнюю отчетную дату.</w:t>
      </w:r>
    </w:p>
    <w:p>
      <w:pPr>
        <w:pStyle w:val="Style32"/>
        <w:keepNext w:val="true"/>
        <w:numPr>
          <w:ilvl w:val="1"/>
          <w:numId w:val="2"/>
        </w:numPr>
        <w:ind w:firstLine="567" w:start="0"/>
        <w:rPr/>
      </w:pPr>
      <w:r>
        <w:rPr/>
        <w:t>Для юридических лиц, зарегистрированных в форме обществ с ограниченной ответственностью: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учредительный договор / договор об учреждении (создании) / решение единственного учредителя о создании;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решение (протокол) о приеме новых участников (при наличии);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список состава коллегиального руководящего органа, члены которого на основании устава уполномочены принимать решения в процессе управления организацией без доверенности;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устав и изменения к нему.</w:t>
      </w:r>
    </w:p>
    <w:p>
      <w:pPr>
        <w:pStyle w:val="Style32"/>
        <w:keepNext w:val="true"/>
        <w:numPr>
          <w:ilvl w:val="1"/>
          <w:numId w:val="2"/>
        </w:numPr>
        <w:ind w:firstLine="567" w:start="0"/>
        <w:rPr/>
      </w:pPr>
      <w:r>
        <w:rPr/>
        <w:t>Для юридических лиц, зарегистрированных в форме общественных или религиозных организаций (объединений):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учредительный договор или положение;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решение о создании;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список состава коллегиального руководящего органа, члены которого на основании устава уполномочены принимать решения в процессе управления организацией без доверенности;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устав и изменения к нему.</w:t>
      </w:r>
    </w:p>
    <w:p>
      <w:pPr>
        <w:pStyle w:val="Style32"/>
        <w:keepNext w:val="true"/>
        <w:numPr>
          <w:ilvl w:val="1"/>
          <w:numId w:val="2"/>
        </w:numPr>
        <w:ind w:firstLine="567" w:start="0"/>
        <w:rPr/>
      </w:pPr>
      <w:r>
        <w:rPr/>
        <w:t>Для юридических лиц, зарегистрированных в форме фонда: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документ о выборе (назначении) попечительского совета фонда;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список состава коллегиального руководящего органа, члены которого на основании устава уполномочены принимать решения в процессе управления организацией без доверенности;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решение о создании;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устав и изменения к нему.</w:t>
      </w:r>
    </w:p>
    <w:p>
      <w:pPr>
        <w:pStyle w:val="Style32"/>
        <w:keepNext w:val="true"/>
        <w:numPr>
          <w:ilvl w:val="1"/>
          <w:numId w:val="2"/>
        </w:numPr>
        <w:ind w:firstLine="567" w:start="0"/>
        <w:rPr/>
      </w:pPr>
      <w:r>
        <w:rPr/>
        <w:t>Для юридических лиц, зарегистрированных в форме некоммерческого партнерства: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решение и договор о создании.</w:t>
      </w:r>
    </w:p>
    <w:p>
      <w:pPr>
        <w:pStyle w:val="Style32"/>
        <w:numPr>
          <w:ilvl w:val="1"/>
          <w:numId w:val="2"/>
        </w:numPr>
        <w:ind w:firstLine="567" w:start="0"/>
        <w:rPr/>
      </w:pPr>
      <w:r>
        <w:rPr/>
        <w:t>Для иных организационно-правовых форм юридических лиц –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</w:p>
    <w:p>
      <w:pPr>
        <w:pStyle w:val="Style32"/>
        <w:keepNext w:val="true"/>
        <w:numPr>
          <w:ilvl w:val="1"/>
          <w:numId w:val="2"/>
        </w:numPr>
        <w:ind w:firstLine="567" w:start="0"/>
        <w:rPr/>
      </w:pPr>
      <w:r>
        <w:rPr/>
        <w:t>Для всех организаций, созданных и действующих в соответствии с законодательством иностранных государств</w:t>
      </w:r>
      <w:r>
        <w:rPr>
          <w:rStyle w:val="FootnoteReference"/>
        </w:rPr>
        <w:footnoteReference w:id="3"/>
      </w:r>
      <w:r>
        <w:rPr/>
        <w:t>: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выписка из торгового реестра страны инкорпорации;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список состава коллегиального руководящего органа, члены которого на основании устава уполномочены принимать решения в процессе управления организацией без доверенности (предусмотренные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лица).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Документы предоставляются в виде оригинала на иностранном языке и в виде нотариально заверенного перевода на русский язык.</w:t>
      </w:r>
    </w:p>
    <w:p>
      <w:pPr>
        <w:pStyle w:val="Style32"/>
        <w:numPr>
          <w:ilvl w:val="1"/>
          <w:numId w:val="2"/>
        </w:numPr>
        <w:ind w:firstLine="567" w:start="0"/>
        <w:rPr/>
      </w:pPr>
      <w:r>
        <w:rPr/>
        <w:t>Для всех организаций независимо от страны инкорпорации и при наличии в 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собственниками: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документы, служащие основанием прав таких лиц;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список состава коллегиального руководящего органа, члены которого на основании устава уполномочены принимать решения в процессе управления организацией без доверенности.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Документы предоставляются в виде оригинала на иностранном языке и в виде нотариально заверенного перевода на русский язык.</w:t>
      </w:r>
    </w:p>
    <w:p>
      <w:pPr>
        <w:pStyle w:val="Style32"/>
        <w:keepNext w:val="true"/>
        <w:numPr>
          <w:ilvl w:val="1"/>
          <w:numId w:val="2"/>
        </w:numPr>
        <w:ind w:firstLine="567" w:start="0"/>
        <w:rPr/>
      </w:pPr>
      <w:r>
        <w:rPr/>
        <w:t>Для всех физических лиц, являющихся налоговыми резидентами Российской Федерации, чьи персональные данные раскрываются в цепочке собственников:</w:t>
      </w:r>
    </w:p>
    <w:p>
      <w:pPr>
        <w:pStyle w:val="Style32"/>
        <w:numPr>
          <w:ilvl w:val="0"/>
          <w:numId w:val="3"/>
        </w:numPr>
        <w:ind w:firstLine="567" w:start="0"/>
        <w:rPr/>
      </w:pPr>
      <w:r>
        <w:rPr/>
        <w:t>оригинал Согласия на обработку и передачу персональных и иных охраняемых законом данных по форме Приложения № 2 к Соглашению, подписанный субъектом персональных данных.</w:t>
      </w:r>
    </w:p>
    <w:p>
      <w:pPr>
        <w:pStyle w:val="Style32"/>
        <w:numPr>
          <w:ilvl w:val="0"/>
          <w:numId w:val="2"/>
        </w:numPr>
        <w:ind w:firstLine="567" w:start="0"/>
        <w:rPr/>
      </w:pPr>
      <w:r>
        <w:rPr/>
        <w:t>Независимо от любых других положений Договора в случае непредставления в установленный срок __________ документов, подтверждающих изменения, __________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__________ уведомления о расторжении Договора, но в любом случае – не позднее 10 (десяти) рабочих дней с даты его отправки __________.</w:t>
      </w:r>
    </w:p>
    <w:p>
      <w:pPr>
        <w:pStyle w:val="Style32"/>
        <w:numPr>
          <w:ilvl w:val="0"/>
          <w:numId w:val="2"/>
        </w:numPr>
        <w:ind w:firstLine="567" w:start="0"/>
        <w:rPr/>
      </w:pPr>
      <w:r>
        <w:rPr/>
        <w:t>Независимо от любых других положений Договора при досрочном расторжении Договора по основаниям, указанным в пункте 2 Соглашения, __________ оплачивает только те работы, которые были фактически выполнены __________ и были приняты __________ в порядке, установленном Договором. При этом __________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 Договору, а также, по требованию __________ не позднее 15 (пятнадцати) рабочих дней возместить все убытки, вызванные досрочным расторжением Договора.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__________ в течение 3 (трех) рабочих дней с момента получения соответствующего уведомления обязан также вернуть __________ все ранее переданное __________ для целей исполнения Договора имущество, которое не было использовано последним до момента получения уведомления о расторжении, а также все суммы, причитающиеся __________, в том числе ранее перечисленные __________ в счет авансов. В случае просрочки возврата __________ таких сумм, __________ имеет право требовать уплаты __________ неустойки в размере 0,2 (ноль целых и две десятых) процента от невозвращенной в срок суммы за каждый день просрочки.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Во избежание сомнений и независимо от иных положений Договора __________ настоящим также отказывается от любых прав требования возмещения убытков или ущерба, возникшего у __________ в связи с расторжением Договора по основаниям, указанным в пункте 2 Соглашения.</w:t>
      </w:r>
    </w:p>
    <w:p>
      <w:pPr>
        <w:pStyle w:val="Style32"/>
        <w:keepNext w:val="true"/>
        <w:numPr>
          <w:ilvl w:val="0"/>
          <w:numId w:val="2"/>
        </w:numPr>
        <w:ind w:firstLine="567" w:start="0"/>
        <w:rPr/>
      </w:pPr>
      <w:r>
        <w:rPr/>
      </w:r>
    </w:p>
    <w:p>
      <w:pPr>
        <w:pStyle w:val="Style32"/>
        <w:keepNext w:val="true"/>
        <w:tabs>
          <w:tab w:val="clear" w:pos="708"/>
          <w:tab w:val="left" w:pos="567" w:leader="none"/>
        </w:tabs>
        <w:rPr>
          <w:i/>
          <w:i/>
          <w:iCs/>
        </w:rPr>
      </w:pPr>
      <w:r>
        <w:rPr>
          <w:i/>
          <w:iCs/>
        </w:rPr>
        <w:t>Вариант 1</w:t>
      </w:r>
      <w:r>
        <w:rPr>
          <w:rStyle w:val="FootnoteReference"/>
          <w:i/>
          <w:iCs/>
        </w:rPr>
        <w:footnoteReference w:id="4"/>
      </w:r>
      <w:r>
        <w:rPr>
          <w:i/>
          <w:iCs/>
        </w:rPr>
        <w:t>: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«__________ подтверждает и заверяет __________, что все заверения __________, предусмотренные разделом _____ Договора (далее – «Заверения»), и ответственность за предоставление недостоверных заверений, предусмотренная пунктами ______ Договора, также распространяются на Соглашение.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__________ исходит из того, что __________ полагается на все Заверения при заключении Соглашения и будет полагаться на все Заверения при исполнении и/или прекращении (расторжении) Договора. Стороны соглашаются с тем, что недостоверность, неточность Заверений являются предоставлением недостоверных заверений об обстоятельствах в соответствии со статьей 431.2 Гражданского кодекса Российской Федерации.</w:t>
      </w:r>
    </w:p>
    <w:p>
      <w:pPr>
        <w:pStyle w:val="Style32"/>
        <w:keepNext w:val="true"/>
        <w:rPr>
          <w:i/>
          <w:i/>
          <w:iCs/>
        </w:rPr>
      </w:pPr>
      <w:r>
        <w:rPr>
          <w:i/>
          <w:iCs/>
        </w:rPr>
        <w:t>либо</w:t>
      </w:r>
    </w:p>
    <w:p>
      <w:pPr>
        <w:pStyle w:val="Style32"/>
        <w:keepNext w:val="true"/>
        <w:tabs>
          <w:tab w:val="clear" w:pos="708"/>
          <w:tab w:val="left" w:pos="567" w:leader="none"/>
        </w:tabs>
        <w:rPr>
          <w:i/>
          <w:i/>
          <w:iCs/>
        </w:rPr>
      </w:pPr>
      <w:r>
        <w:rPr>
          <w:i/>
          <w:iCs/>
        </w:rPr>
        <w:t>Вариант 2</w:t>
      </w:r>
      <w:r>
        <w:rPr>
          <w:rStyle w:val="FootnoteReference"/>
          <w:i/>
          <w:iCs/>
        </w:rPr>
        <w:footnoteReference w:id="5"/>
      </w:r>
      <w:r>
        <w:rPr>
          <w:i/>
          <w:iCs/>
        </w:rPr>
        <w:t>: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«__________ в соответствии со статьей 431.2 Гражданского кодекса Российской Федерации подтверждает, что все согласия, необходимые для заключения __________Соглашения, предусмотренные законодательством Российской Федерации, Уставом, внутренними документами и отдельными решениями органов управления __________ были получены, вступили в действие и соответствуют законодательству Российской Федерации, Уставу, внутренним документам и отдельным решениям органов управления __________ (далее – «Заверение»).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__________ исходит из того, что __________ полагается на Заверение при заключении Соглашения и будет полагаться на Заверение при исполнении и/или прекращении (расторжении) Договора. Стороны соглашаются с тем, что недостоверность, неточность Заверения является предоставлением недостоверных заверений об обстоятельствах в соответствии со статьей 431.2 Гражданского кодекса Российской Федерации.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В случае, если __________ при заключении Договора и Соглашения предоставил __________ недостоверные заверения об обстоятельствах, имеющих существенное значение для заключения и исполнения Договора, __________ обязан по письменному требованию __________ уплатить последнему штраф в размере 5 (пяти) процентов от цены Договора, указанной в пункте _____ Договора. Недостоверность предоставленных __________ заверений дает право __________ на односторонний отказ от Договора без возмещения __________ каких-либо убытков, причиненных отказом от Договора (исполнения Договора).</w:t>
      </w:r>
    </w:p>
    <w:p>
      <w:pPr>
        <w:pStyle w:val="Style32"/>
        <w:numPr>
          <w:ilvl w:val="0"/>
          <w:numId w:val="2"/>
        </w:numPr>
        <w:ind w:firstLine="567" w:start="0"/>
        <w:rPr/>
      </w:pPr>
      <w:r>
        <w:rPr/>
        <w:t>Все остальные условия Договора сохраняют свою юридическую силу и применяются в части, не противоречащей Соглашению. Заключение Соглашения не лишает __________ права предъявлять __________ требования, связанные с нарушениями условий Договора, допущенными до даты заключения Соглашения.</w:t>
      </w:r>
      <w:r>
        <w:rPr>
          <w:rStyle w:val="FootnoteReference"/>
        </w:rPr>
        <w:footnoteReference w:id="6"/>
      </w:r>
    </w:p>
    <w:p>
      <w:pPr>
        <w:pStyle w:val="Style32"/>
        <w:numPr>
          <w:ilvl w:val="0"/>
          <w:numId w:val="2"/>
        </w:numPr>
        <w:ind w:firstLine="567" w:start="0"/>
        <w:rPr/>
      </w:pPr>
      <w:r>
        <w:rPr/>
        <w:t>Соглашение вступает в силу с даты подписания Сторонами и является неотъемлемой частью Договора. В соответствии с пунктом 2 статьи 425 ГК РФ условия Соглашения применяются к отношениям Сторон, возникшим с __________.</w:t>
      </w:r>
    </w:p>
    <w:p>
      <w:pPr>
        <w:pStyle w:val="Style32"/>
        <w:numPr>
          <w:ilvl w:val="0"/>
          <w:numId w:val="2"/>
        </w:numPr>
        <w:ind w:firstLine="567" w:start="0"/>
        <w:rPr/>
      </w:pPr>
      <w:r>
        <w:rPr/>
        <w:t>Соглашение заключается в электронной форме с использованием программно-аппаратных средств электронной площадки, указанной в пункте _____, путем его подписания усиленными квалифицированными электронными подписями уполномоченных представителей Сторон.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Соглашение, подписанное с использованием усиленных квалифицированных электронных подписей,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Сторон.</w:t>
      </w:r>
      <w:r>
        <w:rPr>
          <w:rStyle w:val="FootnoteReference"/>
        </w:rPr>
        <w:footnoteReference w:id="7"/>
      </w:r>
    </w:p>
    <w:p>
      <w:pPr>
        <w:pStyle w:val="Style32"/>
        <w:keepNext w:val="true"/>
        <w:rPr>
          <w:i/>
          <w:i/>
          <w:iCs/>
        </w:rPr>
      </w:pPr>
      <w:r>
        <w:rPr>
          <w:i/>
          <w:iCs/>
        </w:rPr>
        <w:t>или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Соглашение заключается в электронной форме с использованием программно-аппаратных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(далее – УКЭП) уполномоченных представителей Сторон.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Соглашение, подписанное с использованием УКЭП,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Сторон.</w:t>
      </w:r>
    </w:p>
    <w:p>
      <w:pPr>
        <w:pStyle w:val="Style32"/>
        <w:numPr>
          <w:ilvl w:val="0"/>
          <w:numId w:val="2"/>
        </w:numPr>
        <w:ind w:firstLine="567" w:start="0"/>
        <w:rPr/>
      </w:pPr>
      <w:r>
        <w:rPr/>
        <w:t>Соглашение составлено на русском языке в 2 (двух) подлинных экземплярах, имеющих равную юридическую силу, по 1 (одному) экземпляру для каждой из Сторон.</w:t>
      </w:r>
    </w:p>
    <w:p>
      <w:pPr>
        <w:pStyle w:val="Style32"/>
        <w:numPr>
          <w:ilvl w:val="0"/>
          <w:numId w:val="2"/>
        </w:numPr>
        <w:ind w:firstLine="567" w:start="0"/>
        <w:rPr/>
      </w:pPr>
      <w:r>
        <w:rPr/>
        <w:t>К Соглашению прилагаются:</w:t>
      </w:r>
    </w:p>
    <w:p>
      <w:pPr>
        <w:pStyle w:val="Style32"/>
        <w:numPr>
          <w:ilvl w:val="1"/>
          <w:numId w:val="2"/>
        </w:numPr>
        <w:ind w:firstLine="567" w:start="0"/>
        <w:rPr/>
      </w:pPr>
      <w:r>
        <w:rPr/>
        <w:t>Приложение № 1 – Форма документа «Сведения о цепочке собственников, включая бенефициаров (в том числе конечных)»;</w:t>
      </w:r>
    </w:p>
    <w:p>
      <w:pPr>
        <w:pStyle w:val="Style32"/>
        <w:numPr>
          <w:ilvl w:val="1"/>
          <w:numId w:val="2"/>
        </w:numPr>
        <w:ind w:firstLine="567" w:start="0"/>
        <w:rPr/>
      </w:pPr>
      <w:r>
        <w:rPr/>
        <w:t>Приложение № 2 – Форма документа «Согласие на передачу персональных и иных охраняемых законом данных».</w:t>
      </w:r>
    </w:p>
    <w:p>
      <w:pPr>
        <w:pStyle w:val="Style32"/>
        <w:keepNext w:val="true"/>
        <w:spacing w:before="240" w:after="120"/>
        <w:jc w:val="center"/>
        <w:rPr>
          <w:b/>
          <w:bCs/>
        </w:rPr>
      </w:pPr>
      <w:r>
        <w:rPr>
          <w:b/>
          <w:bCs/>
        </w:rPr>
        <w:t>Подпись сторон:</w:t>
      </w:r>
    </w:p>
    <w:tbl>
      <w:tblPr>
        <w:tblW w:w="9912" w:type="dxa"/>
        <w:jc w:val="start"/>
        <w:tblInd w:w="0" w:type="dxa"/>
        <w:tblLayout w:type="fixed"/>
        <w:tblCellMar>
          <w:top w:w="0" w:type="dxa"/>
          <w:start w:w="57" w:type="dxa"/>
          <w:bottom w:w="0" w:type="dxa"/>
          <w:end w:w="57" w:type="dxa"/>
        </w:tblCellMar>
      </w:tblPr>
      <w:tblGrid>
        <w:gridCol w:w="4672"/>
        <w:gridCol w:w="587"/>
        <w:gridCol w:w="4653"/>
      </w:tblGrid>
      <w:tr>
        <w:trPr/>
        <w:tc>
          <w:tcPr>
            <w:tcW w:w="4672" w:type="dxa"/>
            <w:tcBorders/>
          </w:tcPr>
          <w:p>
            <w:pPr>
              <w:pStyle w:val="Style32"/>
              <w:keepNext w:val="true"/>
              <w:keepLines w:val="false"/>
              <w:widowControl/>
              <w:spacing w:before="60" w:after="60"/>
              <w:jc w:val="start"/>
              <w:rPr>
                <w:rFonts w:ascii="Times New Roman" w:hAnsi="Times New Roman" w:eastAsia="Calibri" w:cs="Arial"/>
                <w:b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b/>
                <w:kern w:val="0"/>
                <w:sz w:val="26"/>
                <w:szCs w:val="22"/>
                <w:lang w:val="ru-RU" w:eastAsia="en-US" w:bidi="ar-SA"/>
              </w:rPr>
              <w:t>__________</w:t>
            </w:r>
          </w:p>
        </w:tc>
        <w:tc>
          <w:tcPr>
            <w:tcW w:w="587" w:type="dxa"/>
            <w:tcBorders/>
          </w:tcPr>
          <w:p>
            <w:pPr>
              <w:pStyle w:val="Style32"/>
              <w:keepNext w:val="true"/>
              <w:keepLines w:val="false"/>
              <w:widowControl/>
              <w:spacing w:before="60" w:after="60"/>
              <w:jc w:val="start"/>
              <w:rPr>
                <w:rFonts w:ascii="Times New Roman" w:hAnsi="Times New Roman" w:eastAsia="Calibri" w:cs="Arial"/>
                <w:b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b/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4653" w:type="dxa"/>
            <w:tcBorders/>
          </w:tcPr>
          <w:p>
            <w:pPr>
              <w:pStyle w:val="Style32"/>
              <w:keepNext w:val="true"/>
              <w:keepLines w:val="false"/>
              <w:widowControl/>
              <w:spacing w:before="60" w:after="60"/>
              <w:jc w:val="start"/>
              <w:rPr>
                <w:rFonts w:ascii="Times New Roman" w:hAnsi="Times New Roman" w:eastAsia="Calibri" w:cs="Arial"/>
                <w:b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b/>
                <w:kern w:val="0"/>
                <w:sz w:val="26"/>
                <w:szCs w:val="22"/>
                <w:lang w:val="ru-RU" w:eastAsia="en-US" w:bidi="ar-SA"/>
              </w:rPr>
              <w:t>__________</w:t>
            </w:r>
          </w:p>
        </w:tc>
      </w:tr>
      <w:tr>
        <w:trPr/>
        <w:tc>
          <w:tcPr>
            <w:tcW w:w="4672" w:type="dxa"/>
            <w:tcBorders/>
          </w:tcPr>
          <w:p>
            <w:pPr>
              <w:pStyle w:val="Style32"/>
              <w:keepNext w:val="true"/>
              <w:widowControl/>
              <w:spacing w:before="60" w:after="60"/>
              <w:jc w:val="start"/>
              <w:rPr>
                <w:rFonts w:ascii="Times New Roman" w:hAnsi="Times New Roman" w:eastAsia="Calibri" w:cs="Arial"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587" w:type="dxa"/>
            <w:tcBorders/>
          </w:tcPr>
          <w:p>
            <w:pPr>
              <w:pStyle w:val="Style32"/>
              <w:keepNext w:val="true"/>
              <w:widowControl/>
              <w:spacing w:before="60" w:after="60"/>
              <w:jc w:val="start"/>
              <w:rPr>
                <w:rFonts w:ascii="Times New Roman" w:hAnsi="Times New Roman" w:eastAsia="Calibri" w:cs="Arial"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4653" w:type="dxa"/>
            <w:tcBorders/>
          </w:tcPr>
          <w:p>
            <w:pPr>
              <w:pStyle w:val="Style32"/>
              <w:keepNext w:val="true"/>
              <w:widowControl/>
              <w:spacing w:before="60" w:after="60"/>
              <w:jc w:val="start"/>
              <w:rPr>
                <w:rFonts w:ascii="Times New Roman" w:hAnsi="Times New Roman" w:eastAsia="Calibri" w:cs="Arial"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6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672" w:type="dxa"/>
            <w:tcBorders/>
          </w:tcPr>
          <w:p>
            <w:pPr>
              <w:pStyle w:val="Style32"/>
              <w:widowControl/>
              <w:spacing w:before="60" w:after="60"/>
              <w:jc w:val="start"/>
              <w:rPr>
                <w:rFonts w:ascii="Times New Roman" w:hAnsi="Times New Roman" w:eastAsia="Calibri" w:cs="Arial"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6"/>
                <w:szCs w:val="22"/>
                <w:lang w:val="ru-RU" w:eastAsia="en-US" w:bidi="ar-SA"/>
              </w:rPr>
              <w:t>__________ / __________</w:t>
            </w:r>
          </w:p>
        </w:tc>
        <w:tc>
          <w:tcPr>
            <w:tcW w:w="587" w:type="dxa"/>
            <w:tcBorders/>
          </w:tcPr>
          <w:p>
            <w:pPr>
              <w:pStyle w:val="Style32"/>
              <w:widowControl/>
              <w:spacing w:before="60" w:after="60"/>
              <w:jc w:val="start"/>
              <w:rPr>
                <w:rFonts w:ascii="Times New Roman" w:hAnsi="Times New Roman" w:eastAsia="Calibri" w:cs="Arial"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4653" w:type="dxa"/>
            <w:tcBorders/>
          </w:tcPr>
          <w:p>
            <w:pPr>
              <w:pStyle w:val="Style32"/>
              <w:widowControl/>
              <w:spacing w:before="60" w:after="60"/>
              <w:jc w:val="start"/>
              <w:rPr>
                <w:rFonts w:ascii="Times New Roman" w:hAnsi="Times New Roman" w:eastAsia="Calibri" w:cs="Arial"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Arial"/>
                <w:kern w:val="0"/>
                <w:sz w:val="26"/>
                <w:szCs w:val="22"/>
                <w:lang w:val="ru-RU" w:eastAsia="en-US" w:bidi="ar-SA"/>
              </w:rPr>
              <w:t>__________ / __________</w:t>
            </w:r>
          </w:p>
        </w:tc>
      </w:tr>
    </w:tbl>
    <w:p>
      <w:pPr>
        <w:pStyle w:val="Style32"/>
        <w:rPr/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850" w:gutter="0" w:header="0" w:top="851" w:footer="567" w:bottom="851"/>
      <w:pgNumType w:fmt="decimal"/>
      <w:formProt w:val="false"/>
      <w:textDirection w:val="lrTb"/>
      <w:docGrid w:type="default" w:linePitch="36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Tempora LGC Uni"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Open Sans">
    <w:charset w:val="01" w:characterSet="utf-8"/>
    <w:family w:val="swiss"/>
    <w:pitch w:val="variable"/>
  </w:font>
  <w:font w:name="Calibri">
    <w:charset w:val="01" w:characterSet="utf-8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120" w:after="0"/>
      <w:jc w:val="end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Для юридических лиц, являющихся публичными акционерными обществами, акции которых котируются на биржах, либо обществами с числом акционеров более 50, в графе «Информация о цепочке собственников контрагента, включая бенефициаров (в том числе конечных)» допускается указание данных о бенефициарах (в том числе конечных) и акционерах, владеющих более 5 процентами акций (либо прямая ссылка на общедоступный источник, посредством которого в установленном законом порядке раскрыта соответствующая информация). В отношении акционеров, владеющих пакетами акций менее 5 процентов, допускается указание общей информации о количестве таких акционеров.</w:t>
      </w:r>
    </w:p>
  </w:footnote>
  <w:footnote w:id="3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Для организаций, являющихся зарубежными публичными компаниями мирового уровня, занимающими лидирующие позиции в соответствующих отраслях, требования считаются исполненными при наличии информации об акционерах, владеющих более 5 процентами акций. В отношении таких компаний в графе «Информация о цепочке собственников контрагента,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</w:footnote>
  <w:footnote w:id="4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Применяется для дополнительных соглашений, заключаемых к договорам, которые содержат типовую формулировку заверений Сторон об обстоятельствах.</w:t>
      </w:r>
    </w:p>
  </w:footnote>
  <w:footnote w:id="5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Применяется для дополнительных соглашений, заключаемых к договорам, которые не содержат заверений Сторон об обстоятельствах.</w:t>
      </w:r>
    </w:p>
  </w:footnote>
  <w:footnote w:id="6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Включается в текст дополнительного соглашения в случае изменения сроков выполнения работ / оказания услуг / поставки оборудования (в том числе установленных Графиком выполнения работ / оказания услуг / поставки оборудования).</w:t>
      </w:r>
    </w:p>
  </w:footnote>
  <w:footnote w:id="7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Включается в текст дополнительного соглашения, заключаемого к договору с Субъектами МСП по результатам закупочных процедур только среди Субъектов МСП, при подписании дополнительного соглашения в электронной форме.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Style26"/>
      <w:numFmt w:val="decimal"/>
      <w:lvlText w:val="%1."/>
      <w:lvlJc w:val="start"/>
      <w:pPr>
        <w:tabs>
          <w:tab w:val="num" w:pos="1134"/>
        </w:tabs>
        <w:ind w:start="1134" w:hanging="1134"/>
      </w:pPr>
      <w:rPr/>
    </w:lvl>
    <w:lvl w:ilvl="1">
      <w:start w:val="1"/>
      <w:pStyle w:val="Style27"/>
      <w:numFmt w:val="decimal"/>
      <w:lvlText w:val="%1.%2"/>
      <w:lvlJc w:val="start"/>
      <w:pPr>
        <w:tabs>
          <w:tab w:val="num" w:pos="1134"/>
        </w:tabs>
        <w:ind w:start="1134" w:hanging="1134"/>
      </w:pPr>
      <w:rPr/>
    </w:lvl>
    <w:lvl w:ilvl="2">
      <w:start w:val="1"/>
      <w:pStyle w:val="Style28"/>
      <w:numFmt w:val="decimal"/>
      <w:lvlText w:val="%1.%2.%3"/>
      <w:lvlJc w:val="start"/>
      <w:pPr>
        <w:tabs>
          <w:tab w:val="num" w:pos="1134"/>
        </w:tabs>
        <w:ind w:start="1134" w:hanging="1134"/>
      </w:pPr>
      <w:rPr/>
    </w:lvl>
    <w:lvl w:ilvl="3">
      <w:start w:val="1"/>
      <w:pStyle w:val="Style29"/>
      <w:numFmt w:val="russianLower"/>
      <w:lvlText w:val="%4)"/>
      <w:lvlJc w:val="start"/>
      <w:pPr>
        <w:tabs>
          <w:tab w:val="num" w:pos="1701"/>
        </w:tabs>
        <w:ind w:start="1701" w:hanging="567"/>
      </w:pPr>
      <w:rPr/>
    </w:lvl>
    <w:lvl w:ilvl="4">
      <w:start w:val="1"/>
      <w:pStyle w:val="Style30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/>
    </w:lvl>
    <w:lvl w:ilvl="1">
      <w:start w:val="1"/>
      <w:numFmt w:val="decimal"/>
      <w:lvlText w:val="%1.%2."/>
      <w:lvlJc w:val="start"/>
      <w:pPr>
        <w:tabs>
          <w:tab w:val="num" w:pos="0"/>
        </w:tabs>
        <w:ind w:start="792" w:hanging="432"/>
      </w:pPr>
      <w:rPr/>
    </w:lvl>
    <w:lvl w:ilvl="2">
      <w:start w:val="1"/>
      <w:numFmt w:val="decimal"/>
      <w:lvlText w:val="%1.%2.%3."/>
      <w:lvlJc w:val="start"/>
      <w:pPr>
        <w:tabs>
          <w:tab w:val="num" w:pos="0"/>
        </w:tabs>
        <w:ind w:start="1224" w:hanging="504"/>
      </w:pPr>
      <w:rPr/>
    </w:lvl>
    <w:lvl w:ilvl="3">
      <w:start w:val="1"/>
      <w:numFmt w:val="decimal"/>
      <w:lvlText w:val="%1.%2.%3.%4."/>
      <w:lvlJc w:val="start"/>
      <w:pPr>
        <w:tabs>
          <w:tab w:val="num" w:pos="0"/>
        </w:tabs>
        <w:ind w:start="1728" w:hanging="648"/>
      </w:pPr>
      <w:rPr/>
    </w:lvl>
    <w:lvl w:ilvl="4">
      <w:start w:val="1"/>
      <w:numFmt w:val="decimal"/>
      <w:lvlText w:val="%1.%2.%3.%4.%5."/>
      <w:lvlJc w:val="start"/>
      <w:pPr>
        <w:tabs>
          <w:tab w:val="num" w:pos="0"/>
        </w:tabs>
        <w:ind w:start="2232" w:hanging="792"/>
      </w:pPr>
      <w:rPr/>
    </w:lvl>
    <w:lvl w:ilvl="5">
      <w:start w:val="1"/>
      <w:numFmt w:val="decimal"/>
      <w:lvlText w:val="%1.%2.%3.%4.%5.%6."/>
      <w:lvlJc w:val="start"/>
      <w:pPr>
        <w:tabs>
          <w:tab w:val="num" w:pos="0"/>
        </w:tabs>
        <w:ind w:start="2736" w:hanging="936"/>
      </w:pPr>
      <w:rPr/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3240" w:hanging="1080"/>
      </w:pPr>
      <w:rPr/>
    </w:lvl>
    <w:lvl w:ilvl="7">
      <w:start w:val="1"/>
      <w:numFmt w:val="decimal"/>
      <w:lvlText w:val="%1.%2.%3.%4.%5.%6.%7.%8."/>
      <w:lvlJc w:val="start"/>
      <w:pPr>
        <w:tabs>
          <w:tab w:val="num" w:pos="0"/>
        </w:tabs>
        <w:ind w:start="3744" w:hanging="1224"/>
      </w:pPr>
      <w:rPr/>
    </w:lvl>
    <w:lvl w:ilvl="8">
      <w:start w:val="1"/>
      <w:numFmt w:val="decimal"/>
      <w:lvlText w:val="%1.%2.%3.%4.%5.%6.%7.%8.%9."/>
      <w:lvlJc w:val="start"/>
      <w:pPr>
        <w:tabs>
          <w:tab w:val="num" w:pos="0"/>
        </w:tabs>
        <w:ind w:start="4320" w:hanging="1440"/>
      </w:pPr>
      <w:rPr/>
    </w:lvl>
  </w:abstractNum>
  <w:abstractNum w:abstractNumId="3">
    <w:lvl w:ilvl="0">
      <w:start w:val="1"/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fullPage" w:percent="69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Arial"/>
        <w:sz w:val="26"/>
        <w:szCs w:val="22"/>
        <w:lang w:val="ru-RU" w:eastAsia="en-US" w:bidi="ar-SA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before="120" w:after="0"/>
      <w:jc w:val="start"/>
    </w:pPr>
    <w:rPr>
      <w:rFonts w:ascii="Times New Roman" w:hAnsi="Times New Roman" w:eastAsia="Calibri" w:cs="Arial"/>
      <w:color w:val="auto"/>
      <w:kern w:val="0"/>
      <w:sz w:val="26"/>
      <w:szCs w:val="22"/>
      <w:lang w:val="ru-RU" w:eastAsia="en-US" w:bidi="ar-SA"/>
    </w:rPr>
  </w:style>
  <w:style w:type="character" w:styleId="DefaultParagraphFont">
    <w:name w:val="Default Paragraph Font"/>
    <w:qFormat/>
    <w:rPr/>
  </w:style>
  <w:style w:type="character" w:styleId="Style14">
    <w:name w:val="Верхний колонтитул Знак"/>
    <w:basedOn w:val="DefaultParagraphFont"/>
    <w:qFormat/>
    <w:rPr/>
  </w:style>
  <w:style w:type="character" w:styleId="Style15">
    <w:name w:val="Нижний колонтитул Знак"/>
    <w:basedOn w:val="DefaultParagraphFont"/>
    <w:qFormat/>
    <w:rPr/>
  </w:style>
  <w:style w:type="character" w:styleId="Style16">
    <w:name w:val="[РГ] Инструкция"/>
    <w:basedOn w:val="DefaultParagraphFont"/>
    <w:qFormat/>
    <w:rPr>
      <w:i/>
      <w:iCs/>
      <w:shd w:fill="FFFF99" w:val="clear"/>
      <w:lang w:val="ru-RU"/>
    </w:rPr>
  </w:style>
  <w:style w:type="character" w:styleId="Style17">
    <w:name w:val="Текст сноски Знак"/>
    <w:basedOn w:val="DefaultParagraphFont"/>
    <w:qFormat/>
    <w:rPr>
      <w:sz w:val="20"/>
      <w:szCs w:val="20"/>
    </w:rPr>
  </w:style>
  <w:style w:type="character" w:styleId="Style18">
    <w:name w:val="Символ сноски"/>
    <w:basedOn w:val="DefaultParagraphFont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Style19">
    <w:name w:val="[РГ] Альтернатива / дополнение"/>
    <w:basedOn w:val="DefaultParagraphFont"/>
    <w:qFormat/>
    <w:rPr>
      <w:i/>
      <w:iCs/>
      <w:shd w:fill="99CCFF" w:val="clear"/>
      <w:lang w:val="ru-RU"/>
    </w:rPr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Style20">
    <w:name w:val="[РГ] Отсылка"/>
    <w:basedOn w:val="DefaultParagraphFont"/>
    <w:qFormat/>
    <w:rPr>
      <w:spacing w:val="30"/>
      <w:u w:val="dotted"/>
      <w:shd w:fill="E7E6E6" w:val="clear"/>
      <w:lang w:val="ru-RU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Style21">
    <w:name w:val="Текст примечания Знак"/>
    <w:basedOn w:val="DefaultParagraphFont"/>
    <w:link w:val="Annotationtext"/>
    <w:qFormat/>
    <w:rPr>
      <w:sz w:val="20"/>
      <w:szCs w:val="20"/>
    </w:rPr>
  </w:style>
  <w:style w:type="character" w:styleId="Style22">
    <w:name w:val="Тема примечания Знак"/>
    <w:basedOn w:val="Style21"/>
    <w:link w:val="Annotationsubject"/>
    <w:qFormat/>
    <w:rPr>
      <w:b/>
      <w:bCs/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Style23">
    <w:name w:val="Символ концевой сноски"/>
    <w:qFormat/>
    <w:rPr/>
  </w:style>
  <w:style w:type="paragraph" w:styleId="Style2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ohit Devanagari"/>
    </w:rPr>
  </w:style>
  <w:style w:type="paragraph" w:styleId="Style26">
    <w:name w:val="[РГ] Раздел"/>
    <w:basedOn w:val="Normal"/>
    <w:next w:val="Style27"/>
    <w:qFormat/>
    <w:pPr>
      <w:keepNext w:val="true"/>
      <w:pageBreakBefore/>
      <w:numPr>
        <w:ilvl w:val="0"/>
        <w:numId w:val="1"/>
      </w:numPr>
      <w:spacing w:before="0" w:after="360"/>
      <w:jc w:val="both"/>
      <w:outlineLvl w:val="0"/>
    </w:pPr>
    <w:rPr>
      <w:b/>
      <w:bCs/>
      <w:caps/>
    </w:rPr>
  </w:style>
  <w:style w:type="paragraph" w:styleId="Style27">
    <w:name w:val="[РГ] Подраздел"/>
    <w:basedOn w:val="Normal"/>
    <w:next w:val="Style28"/>
    <w:qFormat/>
    <w:pPr>
      <w:keepNext w:val="true"/>
      <w:numPr>
        <w:ilvl w:val="1"/>
        <w:numId w:val="1"/>
      </w:numPr>
      <w:spacing w:before="360" w:after="0"/>
      <w:jc w:val="both"/>
      <w:outlineLvl w:val="1"/>
    </w:pPr>
    <w:rPr>
      <w:b/>
      <w:bCs/>
    </w:rPr>
  </w:style>
  <w:style w:type="paragraph" w:styleId="Style28">
    <w:name w:val="[РГ] Пункт"/>
    <w:basedOn w:val="Normal"/>
    <w:qFormat/>
    <w:pPr>
      <w:numPr>
        <w:ilvl w:val="2"/>
        <w:numId w:val="1"/>
      </w:numPr>
      <w:jc w:val="both"/>
      <w:outlineLvl w:val="2"/>
    </w:pPr>
    <w:rPr/>
  </w:style>
  <w:style w:type="paragraph" w:styleId="Style29">
    <w:name w:val="[РГ] Подпункт"/>
    <w:basedOn w:val="Normal"/>
    <w:qFormat/>
    <w:pPr>
      <w:numPr>
        <w:ilvl w:val="3"/>
        <w:numId w:val="1"/>
      </w:numPr>
      <w:jc w:val="both"/>
      <w:outlineLvl w:val="3"/>
    </w:pPr>
    <w:rPr/>
  </w:style>
  <w:style w:type="paragraph" w:styleId="Style30">
    <w:name w:val="[РГ] Перечисление"/>
    <w:basedOn w:val="Normal"/>
    <w:qFormat/>
    <w:pPr>
      <w:numPr>
        <w:ilvl w:val="4"/>
        <w:numId w:val="1"/>
      </w:numPr>
      <w:jc w:val="both"/>
      <w:outlineLvl w:val="4"/>
    </w:pPr>
    <w:rPr/>
  </w:style>
  <w:style w:type="paragraph" w:styleId="Style31">
    <w:name w:val="[РГ] Заголовок"/>
    <w:basedOn w:val="Normal"/>
    <w:next w:val="Style32"/>
    <w:qFormat/>
    <w:pPr>
      <w:keepNext w:val="true"/>
      <w:pageBreakBefore/>
      <w:spacing w:before="0" w:after="360"/>
      <w:jc w:val="both"/>
    </w:pPr>
    <w:rPr>
      <w:b/>
      <w:bCs/>
      <w:caps/>
    </w:rPr>
  </w:style>
  <w:style w:type="paragraph" w:styleId="Style32">
    <w:name w:val="[РГ] Текст"/>
    <w:basedOn w:val="Normal"/>
    <w:qFormat/>
    <w:pPr>
      <w:jc w:val="both"/>
    </w:pPr>
    <w:rPr/>
  </w:style>
  <w:style w:type="paragraph" w:styleId="Style33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pPr>
      <w:spacing w:before="0" w:after="120"/>
      <w:jc w:val="center"/>
    </w:pPr>
    <w:rPr/>
  </w:style>
  <w:style w:type="paragraph" w:styleId="Footer">
    <w:name w:val="Footer"/>
    <w:basedOn w:val="Normal"/>
    <w:link w:val="Style15"/>
    <w:pPr>
      <w:jc w:val="end"/>
    </w:pPr>
    <w:rPr/>
  </w:style>
  <w:style w:type="paragraph" w:styleId="FootnoteText">
    <w:name w:val="Footnote Text"/>
    <w:basedOn w:val="Normal"/>
    <w:link w:val="Style17"/>
    <w:pPr>
      <w:spacing w:before="0" w:after="0"/>
    </w:pPr>
    <w:rPr>
      <w:sz w:val="20"/>
      <w:szCs w:val="20"/>
    </w:rPr>
  </w:style>
  <w:style w:type="paragraph" w:styleId="Style34">
    <w:name w:val="[РГ] Сноска"/>
    <w:basedOn w:val="FootnoteText"/>
    <w:qFormat/>
    <w:pPr>
      <w:spacing w:before="80" w:after="0"/>
      <w:ind w:hanging="567" w:start="567"/>
      <w:jc w:val="both"/>
    </w:pPr>
    <w:rPr>
      <w:sz w:val="22"/>
    </w:rPr>
  </w:style>
  <w:style w:type="paragraph" w:styleId="TOC2">
    <w:name w:val="TOC 2"/>
    <w:basedOn w:val="Normal"/>
    <w:next w:val="Normal"/>
    <w:autoRedefine/>
    <w:pPr>
      <w:tabs>
        <w:tab w:val="clear" w:pos="708"/>
        <w:tab w:val="left" w:pos="851" w:leader="none"/>
        <w:tab w:val="right" w:pos="9923" w:leader="none"/>
      </w:tabs>
      <w:spacing w:before="120" w:after="120"/>
      <w:ind w:hanging="851" w:start="851"/>
    </w:pPr>
    <w:rPr/>
  </w:style>
  <w:style w:type="paragraph" w:styleId="TOC1">
    <w:name w:val="TOC 1"/>
    <w:basedOn w:val="Normal"/>
    <w:next w:val="Normal"/>
    <w:autoRedefine/>
    <w:pPr>
      <w:keepNext w:val="true"/>
      <w:tabs>
        <w:tab w:val="clear" w:pos="708"/>
        <w:tab w:val="left" w:pos="851" w:leader="none"/>
        <w:tab w:val="right" w:pos="9923" w:leader="none"/>
      </w:tabs>
      <w:spacing w:before="120" w:after="120"/>
      <w:ind w:hanging="851" w:start="851"/>
    </w:pPr>
    <w:rPr>
      <w:b/>
      <w:caps/>
    </w:rPr>
  </w:style>
  <w:style w:type="paragraph" w:styleId="TOC3">
    <w:name w:val="TOC 3"/>
    <w:basedOn w:val="Normal"/>
    <w:next w:val="Normal"/>
    <w:autoRedefine/>
    <w:pPr>
      <w:spacing w:lineRule="auto" w:line="259" w:before="0" w:after="100"/>
      <w:ind w:start="440"/>
    </w:pPr>
    <w:rPr>
      <w:rFonts w:ascii="Calibri" w:hAnsi="Calibri" w:eastAsia="等线"/>
      <w:sz w:val="22"/>
      <w:lang w:eastAsia="ru-RU"/>
    </w:rPr>
  </w:style>
  <w:style w:type="paragraph" w:styleId="TOC4">
    <w:name w:val="TOC 4"/>
    <w:basedOn w:val="Normal"/>
    <w:next w:val="Normal"/>
    <w:autoRedefine/>
    <w:pPr>
      <w:spacing w:lineRule="auto" w:line="259" w:before="0" w:after="100"/>
      <w:ind w:start="660"/>
    </w:pPr>
    <w:rPr>
      <w:rFonts w:ascii="Calibri" w:hAnsi="Calibri" w:eastAsia="等线"/>
      <w:sz w:val="22"/>
      <w:lang w:eastAsia="ru-RU"/>
    </w:rPr>
  </w:style>
  <w:style w:type="paragraph" w:styleId="TOC5">
    <w:name w:val="TOC 5"/>
    <w:basedOn w:val="Normal"/>
    <w:next w:val="Normal"/>
    <w:autoRedefine/>
    <w:pPr>
      <w:spacing w:lineRule="auto" w:line="259" w:before="0" w:after="100"/>
      <w:ind w:start="880"/>
    </w:pPr>
    <w:rPr>
      <w:rFonts w:ascii="Calibri" w:hAnsi="Calibri" w:eastAsia="等线"/>
      <w:sz w:val="22"/>
      <w:lang w:eastAsia="ru-RU"/>
    </w:rPr>
  </w:style>
  <w:style w:type="paragraph" w:styleId="TOC6">
    <w:name w:val="TOC 6"/>
    <w:basedOn w:val="Normal"/>
    <w:next w:val="Normal"/>
    <w:autoRedefine/>
    <w:pPr>
      <w:spacing w:lineRule="auto" w:line="259" w:before="0" w:after="100"/>
      <w:ind w:start="1100"/>
    </w:pPr>
    <w:rPr>
      <w:rFonts w:ascii="Calibri" w:hAnsi="Calibri" w:eastAsia="等线"/>
      <w:sz w:val="22"/>
      <w:lang w:eastAsia="ru-RU"/>
    </w:rPr>
  </w:style>
  <w:style w:type="paragraph" w:styleId="TOC7">
    <w:name w:val="TOC 7"/>
    <w:basedOn w:val="Normal"/>
    <w:next w:val="Normal"/>
    <w:autoRedefine/>
    <w:pPr>
      <w:spacing w:lineRule="auto" w:line="259" w:before="0" w:after="100"/>
      <w:ind w:start="1320"/>
    </w:pPr>
    <w:rPr>
      <w:rFonts w:ascii="Calibri" w:hAnsi="Calibri" w:eastAsia="等线"/>
      <w:sz w:val="22"/>
      <w:lang w:eastAsia="ru-RU"/>
    </w:rPr>
  </w:style>
  <w:style w:type="paragraph" w:styleId="TOC8">
    <w:name w:val="TOC 8"/>
    <w:basedOn w:val="Normal"/>
    <w:next w:val="Normal"/>
    <w:autoRedefine/>
    <w:pPr>
      <w:spacing w:lineRule="auto" w:line="259" w:before="0" w:after="100"/>
      <w:ind w:start="1540"/>
    </w:pPr>
    <w:rPr>
      <w:rFonts w:ascii="Calibri" w:hAnsi="Calibri" w:eastAsia="等线"/>
      <w:sz w:val="22"/>
      <w:lang w:eastAsia="ru-RU"/>
    </w:rPr>
  </w:style>
  <w:style w:type="paragraph" w:styleId="TOC9">
    <w:name w:val="TOC 9"/>
    <w:basedOn w:val="Normal"/>
    <w:next w:val="Normal"/>
    <w:autoRedefine/>
    <w:pPr>
      <w:spacing w:lineRule="auto" w:line="259" w:before="0" w:after="100"/>
      <w:ind w:start="1760"/>
    </w:pPr>
    <w:rPr>
      <w:rFonts w:ascii="Calibri" w:hAnsi="Calibri" w:eastAsia="等线"/>
      <w:sz w:val="22"/>
      <w:lang w:eastAsia="ru-RU"/>
    </w:rPr>
  </w:style>
  <w:style w:type="paragraph" w:styleId="Annotationtext">
    <w:name w:val="annotation text"/>
    <w:basedOn w:val="Normal"/>
    <w:link w:val="Style21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22"/>
    <w:qFormat/>
    <w:pPr/>
    <w:rPr>
      <w:b/>
      <w:bCs/>
    </w:rPr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LibreOffice/7.6.7.2$Linux_X86_64 LibreOffice_project/60$Build-2</Application>
  <AppVersion>15.0000</AppVersion>
  <Pages>6</Pages>
  <Words>1674</Words>
  <Characters>11983</Characters>
  <CharactersWithSpaces>13564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revision>0</cp:revision>
  <dc:subject/>
  <dc:title/>
</cp:coreProperties>
</file>